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1097" w14:textId="77777777" w:rsidR="009D4713" w:rsidRPr="00A627F8" w:rsidRDefault="009D4713" w:rsidP="009D4713">
      <w:pPr>
        <w:spacing w:after="480" w:line="240" w:lineRule="auto"/>
        <w:ind w:left="23"/>
        <w:jc w:val="center"/>
        <w:rPr>
          <w:rFonts w:ascii="Century Gothic" w:eastAsia="Century Gothic" w:hAnsi="Century Gothic" w:cs="Century Gothic"/>
          <w:color w:val="CC241C"/>
          <w:sz w:val="40"/>
          <w:szCs w:val="4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40"/>
          <w:szCs w:val="40"/>
          <w:lang w:val="en-GB"/>
        </w:rPr>
        <w:t xml:space="preserve">Shaene Gnanarajah </w:t>
      </w:r>
    </w:p>
    <w:p w14:paraId="2A3E4DD8" w14:textId="7054F2BD" w:rsidR="009D4713" w:rsidRPr="00E13F28" w:rsidRDefault="009D4713" w:rsidP="009D4713">
      <w:pPr>
        <w:spacing w:after="480" w:line="240" w:lineRule="auto"/>
        <w:ind w:left="23"/>
        <w:jc w:val="center"/>
        <w:rPr>
          <w:rFonts w:ascii="Century Gothic" w:eastAsia="Century Gothic" w:hAnsi="Century Gothic" w:cs="Century Gothic"/>
          <w:color w:val="CC241C"/>
          <w:sz w:val="24"/>
          <w:szCs w:val="24"/>
          <w:lang w:val="en-GB"/>
        </w:rPr>
      </w:pPr>
      <w:r w:rsidRPr="00E13F28">
        <w:rPr>
          <w:rFonts w:ascii="Century Gothic" w:eastAsia="Century Gothic" w:hAnsi="Century Gothic" w:cs="Century Gothic"/>
          <w:color w:val="CC241C"/>
          <w:sz w:val="24"/>
          <w:szCs w:val="24"/>
          <w:lang w:val="en-GB"/>
        </w:rPr>
        <w:t>MB BChir (Cantab</w:t>
      </w:r>
      <w:r>
        <w:rPr>
          <w:rFonts w:ascii="Century Gothic" w:eastAsia="Century Gothic" w:hAnsi="Century Gothic" w:cs="Century Gothic"/>
          <w:color w:val="CC241C"/>
          <w:sz w:val="24"/>
          <w:szCs w:val="24"/>
          <w:lang w:val="en-GB"/>
        </w:rPr>
        <w:t>.</w:t>
      </w:r>
      <w:r w:rsidRPr="00E13F28">
        <w:rPr>
          <w:rFonts w:ascii="Century Gothic" w:eastAsia="Century Gothic" w:hAnsi="Century Gothic" w:cs="Century Gothic"/>
          <w:color w:val="CC241C"/>
          <w:sz w:val="24"/>
          <w:szCs w:val="24"/>
          <w:lang w:val="en-GB"/>
        </w:rPr>
        <w:t>) BA (Hons</w:t>
      </w:r>
      <w:r>
        <w:rPr>
          <w:rFonts w:ascii="Century Gothic" w:eastAsia="Century Gothic" w:hAnsi="Century Gothic" w:cs="Century Gothic"/>
          <w:color w:val="CC241C"/>
          <w:sz w:val="24"/>
          <w:szCs w:val="24"/>
          <w:lang w:val="en-GB"/>
        </w:rPr>
        <w:t>.</w:t>
      </w:r>
      <w:r w:rsidRPr="00E13F28">
        <w:rPr>
          <w:rFonts w:ascii="Century Gothic" w:eastAsia="Century Gothic" w:hAnsi="Century Gothic" w:cs="Century Gothic"/>
          <w:color w:val="CC241C"/>
          <w:sz w:val="24"/>
          <w:szCs w:val="24"/>
          <w:lang w:val="en-GB"/>
        </w:rPr>
        <w:t>)</w:t>
      </w:r>
      <w:r w:rsidRPr="00A627F8">
        <w:rPr>
          <w:rFonts w:ascii="Century Gothic" w:eastAsia="Century Gothic" w:hAnsi="Century Gothic" w:cs="Century Gothic"/>
          <w:color w:val="CC241C"/>
          <w:sz w:val="40"/>
          <w:szCs w:val="40"/>
          <w:lang w:val="en-GB"/>
        </w:rPr>
        <w:br/>
      </w:r>
      <w:r w:rsidRPr="00A627F8">
        <w:rPr>
          <w:rFonts w:ascii="Century Gothic" w:eastAsia="Century Gothic" w:hAnsi="Century Gothic" w:cs="Century Gothic"/>
          <w:color w:val="CC241C"/>
          <w:sz w:val="16"/>
          <w:szCs w:val="16"/>
          <w:lang w:val="en-GB"/>
        </w:rPr>
        <w:br/>
      </w:r>
      <w:r>
        <w:rPr>
          <w:rFonts w:ascii="Century Gothic" w:eastAsia="Century Gothic" w:hAnsi="Century Gothic" w:cs="Century Gothic"/>
          <w:sz w:val="20"/>
          <w:szCs w:val="20"/>
          <w:lang w:val="en-GB"/>
        </w:rPr>
        <w:t>Address: Downing College, Regent Street, CB2 1DQ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br/>
        <w:t xml:space="preserve">Email: </w:t>
      </w:r>
      <w:hyperlink r:id="rId5" w:history="1">
        <w:r w:rsidRPr="0071107F">
          <w:rPr>
            <w:rStyle w:val="Hyperlink"/>
            <w:rFonts w:ascii="Century Gothic" w:eastAsia="Century Gothic" w:hAnsi="Century Gothic" w:cs="Century Gothic"/>
            <w:sz w:val="20"/>
            <w:szCs w:val="20"/>
            <w:lang w:val="en-GB"/>
          </w:rPr>
          <w:t>doctorshaene@askcamdoc.com</w:t>
        </w:r>
      </w:hyperlink>
      <w:r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 </w:t>
      </w:r>
      <w:r w:rsidRPr="00A627F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 xml:space="preserve">| 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Telephone: </w:t>
      </w:r>
      <w:r w:rsidR="0091044B">
        <w:rPr>
          <w:rFonts w:ascii="Century Gothic" w:eastAsia="Century Gothic" w:hAnsi="Century Gothic" w:cs="Century Gothic"/>
          <w:sz w:val="20"/>
          <w:szCs w:val="20"/>
          <w:lang w:val="en-GB"/>
        </w:rPr>
        <w:t>xxxxxxx</w:t>
      </w:r>
    </w:p>
    <w:p w14:paraId="333D1AE8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 xml:space="preserve">SUMMARY </w:t>
      </w:r>
    </w:p>
    <w:p w14:paraId="4A3DFC0A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High</w:t>
      </w:r>
      <w:r>
        <w:rPr>
          <w:rFonts w:ascii="Century Gothic" w:eastAsia="Century Gothic" w:hAnsi="Century Gothic" w:cs="Century Gothic"/>
          <w:sz w:val="20"/>
          <w:szCs w:val="20"/>
          <w:lang w:val="en-GB"/>
        </w:rPr>
        <w:t>ly accomplished medical doctor and neuroscience supervisor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 at the University of Cambridge. Graduated in 2017 from the University of Cambridg</w:t>
      </w:r>
      <w:r>
        <w:rPr>
          <w:rFonts w:ascii="Century Gothic" w:eastAsia="Century Gothic" w:hAnsi="Century Gothic" w:cs="Century Gothic"/>
          <w:sz w:val="20"/>
          <w:szCs w:val="20"/>
          <w:lang w:val="en-GB"/>
        </w:rPr>
        <w:t>e with a First-class degree in Psychology and N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euroscience.</w:t>
      </w:r>
      <w:r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 Founder and editor of a multi-media platform for medical students. </w:t>
      </w:r>
    </w:p>
    <w:p w14:paraId="46FAE998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22E03D85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>EDUCATION</w:t>
      </w:r>
    </w:p>
    <w:p w14:paraId="0FA4CDDE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10/2014 – 0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4</w:t>
      </w: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/20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</w:t>
      </w:r>
    </w:p>
    <w:p w14:paraId="407A7A1E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Downing College, University of Cambridge </w:t>
      </w:r>
    </w:p>
    <w:p w14:paraId="35AB9AC7" w14:textId="77777777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Cambridge, UK</w:t>
      </w:r>
    </w:p>
    <w:p w14:paraId="135DA1E2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E13F2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>MB BChir (Cantab.)</w:t>
      </w:r>
      <w:r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 xml:space="preserve"> </w:t>
      </w:r>
      <w:r w:rsidRPr="00A627F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 xml:space="preserve">- </w:t>
      </w:r>
      <w:r w:rsidRPr="00E13F2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>Bachelor of Medicine and Bachelor of Surgery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| Downing College, University of Cambridge. (2014 – 20</w:t>
      </w:r>
      <w:r>
        <w:rPr>
          <w:rFonts w:ascii="Century Gothic" w:eastAsia="Century Gothic" w:hAnsi="Century Gothic" w:cs="Century Gothic"/>
          <w:sz w:val="20"/>
          <w:szCs w:val="20"/>
          <w:lang w:val="en-GB"/>
        </w:rPr>
        <w:t>20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)  </w:t>
      </w:r>
    </w:p>
    <w:p w14:paraId="0A180990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</w:p>
    <w:p w14:paraId="57337E1A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06/2019</w:t>
      </w: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 xml:space="preserve"> – 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07</w:t>
      </w: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/201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9</w:t>
      </w:r>
    </w:p>
    <w:p w14:paraId="6D798C66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Massachusetts General Hospital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,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Harvard University 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</w:t>
      </w:r>
    </w:p>
    <w:p w14:paraId="6B0C26E7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sz w:val="20"/>
          <w:szCs w:val="20"/>
          <w:lang w:val="en-GB"/>
        </w:rPr>
        <w:t>Boston, USA</w:t>
      </w:r>
    </w:p>
    <w:p w14:paraId="4C3D63E1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>Plastics and Reconstructive Surgery -</w:t>
      </w:r>
      <w:r w:rsidRPr="00A627F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>Elective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| </w:t>
      </w:r>
      <w:r w:rsidRPr="00302909">
        <w:rPr>
          <w:rFonts w:ascii="Century Gothic" w:eastAsia="Century Gothic" w:hAnsi="Century Gothic" w:cs="Century Gothic"/>
          <w:sz w:val="20"/>
          <w:szCs w:val="20"/>
          <w:lang w:val="en-GB"/>
        </w:rPr>
        <w:t>Massachusetts Genera</w:t>
      </w:r>
      <w:r>
        <w:rPr>
          <w:rFonts w:ascii="Century Gothic" w:eastAsia="Century Gothic" w:hAnsi="Century Gothic" w:cs="Century Gothic"/>
          <w:sz w:val="20"/>
          <w:szCs w:val="20"/>
          <w:lang w:val="en-GB"/>
        </w:rPr>
        <w:t>l Hospital, Harvard University. (2019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)  </w:t>
      </w:r>
    </w:p>
    <w:p w14:paraId="6A2D813B" w14:textId="77777777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</w:p>
    <w:p w14:paraId="6EC3B41C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10/2014 – 06/2017</w:t>
      </w:r>
    </w:p>
    <w:p w14:paraId="64E183CA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Downing College, University of Cambridge </w:t>
      </w:r>
    </w:p>
    <w:p w14:paraId="3A89D2B2" w14:textId="77777777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Cambridge, UK</w:t>
      </w:r>
    </w:p>
    <w:p w14:paraId="5464C93C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 xml:space="preserve">BA Hons. (Cantab.) Psychology with Neuroscience (intercalated degree)- Medicine 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| Downing College, University of Cambridge. (2014 – 2017)  </w:t>
      </w:r>
    </w:p>
    <w:p w14:paraId="2054471B" w14:textId="77777777" w:rsidR="007C4779" w:rsidRDefault="009D4713" w:rsidP="007C4779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Year 1: First class</w:t>
      </w:r>
    </w:p>
    <w:p w14:paraId="537C5FC4" w14:textId="66929468" w:rsidR="009D4713" w:rsidRPr="00A627F8" w:rsidRDefault="009D4713" w:rsidP="007C4779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Year 2: First class</w:t>
      </w:r>
    </w:p>
    <w:p w14:paraId="6572B273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Year 3: First class                   </w:t>
      </w:r>
    </w:p>
    <w:p w14:paraId="7C34D438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</w:p>
    <w:p w14:paraId="11BE5E82" w14:textId="77777777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09/2012 – 06/2014</w:t>
      </w:r>
    </w:p>
    <w:p w14:paraId="4F3C65EF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Derby Grammar School</w:t>
      </w:r>
    </w:p>
    <w:p w14:paraId="5B1F7151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Derby, UK</w:t>
      </w:r>
    </w:p>
    <w:p w14:paraId="604B150E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A2 Levels: Biology (A*), Physics (A*), Chemistry (A*) | Derby Grammar School (2013 – 2014)  </w:t>
      </w:r>
    </w:p>
    <w:p w14:paraId="3B7391C1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AS Levels: Biology (A), Physics (A), Chemistry (A), Mathematics (A) | Derby Grammar School (2012 – 2013)                     </w:t>
      </w:r>
    </w:p>
    <w:p w14:paraId="5BAB6085" w14:textId="4C589C8A" w:rsidR="009D4713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7E7A4008" w14:textId="32F7744F" w:rsidR="009D4713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5A35C8D9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58A2AC20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lastRenderedPageBreak/>
        <w:t>09/2010 – 06/2012</w:t>
      </w:r>
    </w:p>
    <w:p w14:paraId="73B23159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Derby Grammar School</w:t>
      </w:r>
    </w:p>
    <w:p w14:paraId="161C087D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Derby, UK</w:t>
      </w:r>
    </w:p>
    <w:p w14:paraId="4C7E5F47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GSCEs: 13 A* </w:t>
      </w:r>
    </w:p>
    <w:p w14:paraId="271A05A7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Including Biology (A*), Physics (A*), Chemistry (A*) Mathematics (A*) and English Language (A*).</w:t>
      </w:r>
    </w:p>
    <w:p w14:paraId="703DCE23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</w:p>
    <w:p w14:paraId="0E1A10E0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 xml:space="preserve">RESEARCH </w:t>
      </w:r>
    </w:p>
    <w:p w14:paraId="1906141B" w14:textId="160064E2" w:rsidR="009D4713" w:rsidRPr="00E13F2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Publi</w:t>
      </w:r>
      <w:r w:rsidR="00E10765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shed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 xml:space="preserve"> 03</w:t>
      </w: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/20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</w:t>
      </w:r>
    </w:p>
    <w:p w14:paraId="193E022A" w14:textId="77777777" w:rsidR="009D4713" w:rsidRPr="00C26F3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E13F2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Bonney’s blue dye for occult ganglion cyst removal: Technical Note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| </w:t>
      </w:r>
      <w:r w:rsidRPr="00C26F3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Journal of Plastic, Reconstructive &amp; Aesthetic Surgery </w:t>
      </w:r>
    </w:p>
    <w:p w14:paraId="7AE5BB21" w14:textId="237123BC" w:rsidR="009D4713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Shaene Gnanarajah, Anthony </w:t>
      </w:r>
      <w:proofErr w:type="spellStart"/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Barabas</w:t>
      </w:r>
      <w:proofErr w:type="spellEnd"/>
    </w:p>
    <w:p w14:paraId="46749B45" w14:textId="027573D9" w:rsidR="00E10765" w:rsidRDefault="00E10765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</w:p>
    <w:p w14:paraId="1F53A9A3" w14:textId="1D73FE24" w:rsidR="00E10765" w:rsidRPr="00E13F28" w:rsidRDefault="00E10765" w:rsidP="00E10765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Submitted 03</w:t>
      </w: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/20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</w:t>
      </w:r>
    </w:p>
    <w:p w14:paraId="679FA190" w14:textId="438AFB41" w:rsidR="00E10765" w:rsidRPr="00C26F38" w:rsidRDefault="00E10765" w:rsidP="00E10765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The Anterior Earlobe Flap | </w:t>
      </w:r>
      <w:r w:rsidRPr="00C26F3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Journal of Plastic, Reconstructive &amp; Aesthetic Surgery </w:t>
      </w:r>
    </w:p>
    <w:p w14:paraId="6EE9EDC6" w14:textId="6A29112C" w:rsidR="00E10765" w:rsidRPr="007905C0" w:rsidRDefault="00E10765" w:rsidP="00E10765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Shaene Gnanarajah, Anthony </w:t>
      </w:r>
      <w:proofErr w:type="spellStart"/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Barabas</w:t>
      </w:r>
      <w:proofErr w:type="spellEnd"/>
    </w:p>
    <w:p w14:paraId="5A48D1D4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</w:p>
    <w:p w14:paraId="36A6A123" w14:textId="77777777" w:rsidR="009D4713" w:rsidRPr="00E13F2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In Draft 08</w:t>
      </w: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/201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9</w:t>
      </w:r>
    </w:p>
    <w:p w14:paraId="31807D81" w14:textId="77777777" w:rsidR="009D4713" w:rsidRPr="007905C0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7905C0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Targeted Muscle Reinnervation for neuropathic pain in amputees</w:t>
      </w:r>
      <w:r w:rsidRPr="007905C0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| Journal of Hand and Microsurgery </w:t>
      </w:r>
    </w:p>
    <w:p w14:paraId="295B83C6" w14:textId="77777777" w:rsidR="009D4713" w:rsidRPr="007905C0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Shaene Gnanarajah, Jonathan Lans, Kyle Eberlin</w:t>
      </w:r>
    </w:p>
    <w:p w14:paraId="0AC0DA12" w14:textId="77777777" w:rsidR="00FC3CAC" w:rsidRDefault="00FC3CAC" w:rsidP="0091044B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</w:p>
    <w:p w14:paraId="7DFB6FBC" w14:textId="2221EE54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>EMPLOYMENT HISTORY</w:t>
      </w:r>
    </w:p>
    <w:p w14:paraId="31FA7DA1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08/2019</w:t>
      </w: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 xml:space="preserve"> – continued 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self-</w:t>
      </w: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 xml:space="preserve">employment </w:t>
      </w:r>
    </w:p>
    <w:p w14:paraId="71B251F1" w14:textId="77777777" w:rsidR="009D4713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Creator, editor and writer | askCamDoc | </w:t>
      </w:r>
      <w:hyperlink r:id="rId6" w:history="1">
        <w:r w:rsidRPr="002662CA">
          <w:rPr>
            <w:rStyle w:val="Hyperlink"/>
            <w:rFonts w:ascii="Century Gothic" w:eastAsia="Century Gothic" w:hAnsi="Century Gothic" w:cs="Century Gothic"/>
            <w:b/>
            <w:sz w:val="20"/>
            <w:szCs w:val="20"/>
            <w:lang w:val="en-GB"/>
          </w:rPr>
          <w:t>www.askcamdoc.com</w:t>
        </w:r>
      </w:hyperlink>
    </w:p>
    <w:p w14:paraId="60FE7D30" w14:textId="77777777" w:rsidR="009D4713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sz w:val="20"/>
          <w:szCs w:val="20"/>
          <w:lang w:val="en-GB"/>
        </w:rPr>
        <w:t>askCamDoc is a multi-media guide for medical students.</w:t>
      </w:r>
    </w:p>
    <w:p w14:paraId="1E159758" w14:textId="77777777" w:rsidR="009D4713" w:rsidRPr="00D26668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The </w:t>
      </w:r>
      <w:r w:rsidRPr="00D2666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>aim is to create a resource that’s relatable and accessible to all medical students</w:t>
      </w:r>
      <w:r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 based on personal experiences.</w:t>
      </w:r>
    </w:p>
    <w:p w14:paraId="3D5BDCF1" w14:textId="77777777" w:rsidR="009D4713" w:rsidRPr="00D26668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 w:rsidRPr="00D2666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This guide </w:t>
      </w:r>
      <w:r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>covers</w:t>
      </w:r>
      <w:r w:rsidRPr="00D2666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 how best to approach </w:t>
      </w:r>
      <w:r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each year, how to organise </w:t>
      </w:r>
      <w:r w:rsidRPr="00D2666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time, what resources to use, what to prioritise, how to get involved with research, how to build an outstanding CV, how to plan the best elective, as well as some general </w:t>
      </w:r>
      <w:r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>study guidance</w:t>
      </w:r>
      <w:r w:rsidRPr="00D2666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>.</w:t>
      </w:r>
    </w:p>
    <w:p w14:paraId="0837D874" w14:textId="77777777" w:rsidR="009D4713" w:rsidRPr="00D26668" w:rsidRDefault="009D4713" w:rsidP="009D4713">
      <w:pPr>
        <w:spacing w:after="0" w:line="240" w:lineRule="auto"/>
        <w:ind w:left="720"/>
        <w:contextualSpacing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</w:p>
    <w:p w14:paraId="617797E1" w14:textId="77777777" w:rsidR="009D4713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</w:p>
    <w:p w14:paraId="440A865A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 xml:space="preserve">10/2017 – continued employment </w:t>
      </w:r>
    </w:p>
    <w:p w14:paraId="62D10EF3" w14:textId="77777777" w:rsidR="009D4713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Neuroscience supervisor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| Newnham college, University of Cambridge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, UK</w:t>
      </w:r>
    </w:p>
    <w:p w14:paraId="09375B78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Neuroscience supervisor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| St Edmunds college, University of Cambridge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, UK</w:t>
      </w:r>
    </w:p>
    <w:p w14:paraId="2BBCC03E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Neuroscience supervisor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| Robinson college, University of Cambridge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, UK</w:t>
      </w:r>
    </w:p>
    <w:p w14:paraId="0327E677" w14:textId="77777777" w:rsidR="009D4713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Neuroscience supervisor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| Downing college, University of Cambridge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, UK</w:t>
      </w:r>
    </w:p>
    <w:p w14:paraId="2CC111D6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Neuroscience supervisor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| Peterhouse college, University of Cambridge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, UK</w:t>
      </w:r>
    </w:p>
    <w:p w14:paraId="05D617D7" w14:textId="77777777" w:rsidR="009D4713" w:rsidRPr="00A627F8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E</w:t>
      </w:r>
      <w:r>
        <w:rPr>
          <w:rFonts w:ascii="Century Gothic" w:eastAsia="Century Gothic" w:hAnsi="Century Gothic" w:cs="Century Gothic"/>
          <w:sz w:val="20"/>
          <w:szCs w:val="20"/>
          <w:lang w:val="en-GB"/>
        </w:rPr>
        <w:t>ffectively taught over 50 successful students reading the medical neuroscience course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, highlighting my excellent teaching ability.</w:t>
      </w:r>
    </w:p>
    <w:p w14:paraId="015D361A" w14:textId="77777777" w:rsidR="009D4713" w:rsidRPr="00A627F8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Created numerous documents and handouts to </w:t>
      </w:r>
      <w:r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>aid these students, so am experienced at creating effective learning materials</w:t>
      </w:r>
      <w:r w:rsidRPr="00A627F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>.</w:t>
      </w:r>
    </w:p>
    <w:p w14:paraId="7823E71B" w14:textId="05F12F87" w:rsidR="009D4713" w:rsidRDefault="009D4713" w:rsidP="0091044B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</w:p>
    <w:p w14:paraId="10B9130E" w14:textId="271CBEBA" w:rsidR="0091044B" w:rsidRDefault="0091044B" w:rsidP="0091044B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</w:p>
    <w:p w14:paraId="14CDB9B8" w14:textId="77777777" w:rsidR="0091044B" w:rsidRPr="00A627F8" w:rsidRDefault="0091044B" w:rsidP="0091044B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</w:p>
    <w:p w14:paraId="1465E2C9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lastRenderedPageBreak/>
        <w:t>07/2013 – 08/2013</w:t>
      </w:r>
    </w:p>
    <w:p w14:paraId="23B9E2C2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Charity-affiliated Primary Teacher | Gedeli B </w:t>
      </w:r>
      <w:r w:rsidRPr="00A627F8">
        <w:rPr>
          <w:rFonts w:ascii="Century Gothic" w:eastAsia="Century Gothic" w:hAnsi="Century Gothic" w:cs="Century Gothic"/>
          <w:b/>
          <w:bCs/>
          <w:color w:val="404040"/>
          <w:sz w:val="20"/>
          <w:szCs w:val="20"/>
          <w:lang w:val="en-GB"/>
        </w:rPr>
        <w:t>School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, Mwanza, Tanzania</w:t>
      </w:r>
    </w:p>
    <w:p w14:paraId="2D3CE69F" w14:textId="77777777" w:rsidR="009D4713" w:rsidRPr="00A627F8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Taught primary mathematics and English to Tanzanian pupils, emphasising the versatility of my teaching ability.</w:t>
      </w:r>
    </w:p>
    <w:p w14:paraId="146839CE" w14:textId="77777777" w:rsidR="009D4713" w:rsidRPr="00A627F8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Renovated several classrooms as part of the charity aid work. </w:t>
      </w:r>
    </w:p>
    <w:p w14:paraId="7D7E57B8" w14:textId="77777777" w:rsidR="009D4713" w:rsidRDefault="009D4713" w:rsidP="009D4713">
      <w:pPr>
        <w:spacing w:after="0" w:line="240" w:lineRule="auto"/>
        <w:contextualSpacing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</w:p>
    <w:p w14:paraId="2655EB5E" w14:textId="77777777" w:rsidR="00054654" w:rsidRDefault="00054654" w:rsidP="009D471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</w:p>
    <w:p w14:paraId="338D30D1" w14:textId="27348EC5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>POSITIONS OF RESPONSIBILITY</w:t>
      </w:r>
    </w:p>
    <w:p w14:paraId="4A969C84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08/2019 – Present</w:t>
      </w:r>
    </w:p>
    <w:p w14:paraId="0EFF3E96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Creator | Editor | Writer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|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askCamDoc, Instagram, YouTube, Facebook</w:t>
      </w:r>
    </w:p>
    <w:p w14:paraId="7110B0AB" w14:textId="39B191EC" w:rsidR="009D4713" w:rsidRPr="002D4567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Founded the first ever </w:t>
      </w:r>
      <w:r w:rsidR="005033C7">
        <w:rPr>
          <w:rFonts w:ascii="Century Gothic" w:eastAsia="Century Gothic" w:hAnsi="Century Gothic" w:cs="Century Gothic"/>
          <w:sz w:val="20"/>
          <w:szCs w:val="20"/>
          <w:lang w:val="en-GB"/>
        </w:rPr>
        <w:t>social media</w:t>
      </w:r>
      <w:r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 based multi-media guide for medical students.</w:t>
      </w:r>
    </w:p>
    <w:p w14:paraId="28568875" w14:textId="77777777" w:rsidR="009D4713" w:rsidRPr="002D4567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sz w:val="20"/>
          <w:szCs w:val="20"/>
          <w:lang w:val="en-GB"/>
        </w:rPr>
        <w:t>Expanded the network to several social media outlets.</w:t>
      </w:r>
    </w:p>
    <w:p w14:paraId="1ABDBF8E" w14:textId="77777777" w:rsidR="009D4713" w:rsidRPr="00A627F8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Progressed the guide to a platform for all medical students to share their knowledge, advice and guidance. </w:t>
      </w:r>
    </w:p>
    <w:p w14:paraId="1B47D3B7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</w:p>
    <w:p w14:paraId="2D91D232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07/2013 – 07/2014</w:t>
      </w:r>
    </w:p>
    <w:p w14:paraId="4E39A347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Deputy-Head Prefect | Derby Grammar School, Derby, UK</w:t>
      </w:r>
    </w:p>
    <w:p w14:paraId="1439AFD7" w14:textId="77777777" w:rsidR="009D4713" w:rsidRPr="00A627F8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Chaired the school council and its meetings, which involved drawing up agendas, encouraging discussions and taking votes.</w:t>
      </w:r>
    </w:p>
    <w:p w14:paraId="041B84CE" w14:textId="77777777" w:rsidR="009D4713" w:rsidRPr="00A627F8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>Liaised with the teaching staff and PTA to act as the voice of the student body.</w:t>
      </w:r>
    </w:p>
    <w:p w14:paraId="2EC28111" w14:textId="1A829BE6" w:rsidR="009D4713" w:rsidRDefault="009D4713" w:rsidP="009D4713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>Co-led the prefect team.</w:t>
      </w:r>
    </w:p>
    <w:p w14:paraId="1FA3796F" w14:textId="5D76579C" w:rsidR="001D3ECE" w:rsidRDefault="001D3ECE" w:rsidP="001D3ECE">
      <w:pPr>
        <w:spacing w:after="0" w:line="240" w:lineRule="auto"/>
        <w:contextualSpacing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</w:p>
    <w:p w14:paraId="4AC24B5B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</w:p>
    <w:p w14:paraId="437447CA" w14:textId="2B071BCD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>AWARDS</w:t>
      </w:r>
      <w:r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 xml:space="preserve"> &amp; PRIZES</w:t>
      </w:r>
    </w:p>
    <w:p w14:paraId="5EF2E5CD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</w:t>
      </w:r>
    </w:p>
    <w:p w14:paraId="2766C603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National Surgical Education Prize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|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The British Forum of Aspiring Surgeons</w:t>
      </w:r>
    </w:p>
    <w:p w14:paraId="2CC72115" w14:textId="77777777" w:rsidR="009D4713" w:rsidRDefault="009D4713" w:rsidP="009D4713">
      <w:pPr>
        <w:pStyle w:val="ListParagraph"/>
        <w:numPr>
          <w:ilvl w:val="0"/>
          <w:numId w:val="3"/>
        </w:numPr>
        <w:spacing w:after="120" w:line="240" w:lineRule="auto"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>National commendation for multi-media content to further surgical education.</w:t>
      </w:r>
    </w:p>
    <w:p w14:paraId="6E4CDABF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</w:p>
    <w:p w14:paraId="1570D377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19</w:t>
      </w:r>
    </w:p>
    <w:p w14:paraId="246D3C4C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UPRAS Poster Prize</w:t>
      </w: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 |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Undergraduate Plastic, </w:t>
      </w:r>
      <w:r w:rsidRPr="00C26F3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Reconstructive &amp; Aesthetic Surgery</w:t>
      </w:r>
    </w:p>
    <w:p w14:paraId="0DAEEEB4" w14:textId="77777777" w:rsidR="009D4713" w:rsidRPr="00A627F8" w:rsidRDefault="009D4713" w:rsidP="009D4713">
      <w:pPr>
        <w:pStyle w:val="ListParagraph"/>
        <w:numPr>
          <w:ilvl w:val="0"/>
          <w:numId w:val="3"/>
        </w:numPr>
        <w:spacing w:after="120" w:line="240" w:lineRule="auto"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>Presented commended research work at a national conference.</w:t>
      </w:r>
    </w:p>
    <w:p w14:paraId="0B08209F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</w:p>
    <w:p w14:paraId="51D83433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2017</w:t>
      </w:r>
    </w:p>
    <w:p w14:paraId="6E576A75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Foundation Scholar of Natural Sciences | Downing College, University of Cambridge</w:t>
      </w:r>
    </w:p>
    <w:p w14:paraId="2A9BF3DB" w14:textId="77777777" w:rsidR="009D4713" w:rsidRPr="00A627F8" w:rsidRDefault="009D4713" w:rsidP="009D4713">
      <w:pPr>
        <w:pStyle w:val="ListParagraph"/>
        <w:numPr>
          <w:ilvl w:val="0"/>
          <w:numId w:val="3"/>
        </w:numPr>
        <w:spacing w:after="120" w:line="240" w:lineRule="auto"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Elected to the title of Foundation Scholar for obtaining First Class results in all three undergraduate years.  </w:t>
      </w:r>
    </w:p>
    <w:p w14:paraId="3BE6DB05" w14:textId="77777777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Seton Cavendish Prize | Downing College, University of Cambridge </w:t>
      </w:r>
    </w:p>
    <w:p w14:paraId="226D2D14" w14:textId="77777777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</w:pPr>
    </w:p>
    <w:p w14:paraId="51671F12" w14:textId="77777777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2016</w:t>
      </w:r>
    </w:p>
    <w:p w14:paraId="7C1FE853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Saint Scholar of Medical Sciences | Downing College, University of Cambridge</w:t>
      </w:r>
    </w:p>
    <w:p w14:paraId="6F20C2D8" w14:textId="77777777" w:rsidR="009D4713" w:rsidRPr="00A627F8" w:rsidRDefault="009D4713" w:rsidP="009D4713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Elected as a Saint Scholar of Downing College for outstanding examination results in the MVST tripos.  </w:t>
      </w:r>
    </w:p>
    <w:p w14:paraId="56DFBAB3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Seton Cavendish Prize | Downing College, University of Cambridge </w:t>
      </w:r>
    </w:p>
    <w:p w14:paraId="600A43F6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</w:p>
    <w:p w14:paraId="6630E260" w14:textId="77777777" w:rsidR="0091044B" w:rsidRDefault="0091044B" w:rsidP="009D4713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</w:p>
    <w:p w14:paraId="04DE1388" w14:textId="309F313E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lastRenderedPageBreak/>
        <w:t>2015</w:t>
      </w:r>
    </w:p>
    <w:p w14:paraId="569FEFBE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Whitby Scholar of Medical Sciences | Downing College, University of Cambridge</w:t>
      </w:r>
    </w:p>
    <w:p w14:paraId="50BD33B9" w14:textId="77777777" w:rsidR="009D4713" w:rsidRPr="00A627F8" w:rsidRDefault="009D4713" w:rsidP="009D4713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Elected as a Whitby Scholar of Downing College for outstanding examination results in the MVST tripos.  </w:t>
      </w:r>
    </w:p>
    <w:p w14:paraId="05762909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 xml:space="preserve">Seton Cavendish Prize | Downing College, University of Cambridge </w:t>
      </w:r>
    </w:p>
    <w:p w14:paraId="2110F62B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</w:p>
    <w:p w14:paraId="22C0966E" w14:textId="77777777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2014</w:t>
      </w:r>
    </w:p>
    <w:p w14:paraId="5157C663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Award for best in school A-level results | Derby Grammar School, Derby, UK</w:t>
      </w:r>
    </w:p>
    <w:p w14:paraId="2F62A84C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</w:p>
    <w:p w14:paraId="76DF2766" w14:textId="77777777" w:rsidR="009D4713" w:rsidRPr="00A627F8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2012</w:t>
      </w:r>
    </w:p>
    <w:p w14:paraId="69F7724E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Scholar of Derby Grammar School | Derby Grammar School, Derby, UK</w:t>
      </w:r>
    </w:p>
    <w:p w14:paraId="54E91D16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Award for best in school GCSE results | Derby Grammar School, Derby, UK</w:t>
      </w:r>
    </w:p>
    <w:p w14:paraId="0E0DAD69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  <w:t>Duke of Edinburgh Silver Award</w:t>
      </w:r>
    </w:p>
    <w:p w14:paraId="311FEBA0" w14:textId="77777777" w:rsidR="0091044B" w:rsidRDefault="0091044B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</w:p>
    <w:p w14:paraId="45FA6D0B" w14:textId="335A7AA5" w:rsidR="009D4713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/>
          <w:sz w:val="20"/>
          <w:szCs w:val="20"/>
          <w:lang w:val="en-GB"/>
        </w:rPr>
        <w:t>PROFESSIONAL DEVELOPMENT</w:t>
      </w:r>
    </w:p>
    <w:p w14:paraId="3336220D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</w:t>
      </w:r>
    </w:p>
    <w:p w14:paraId="3EC52B82" w14:textId="77777777" w:rsidR="009D4713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lang w:val="en-GB"/>
        </w:rPr>
      </w:pPr>
      <w:r w:rsidRPr="007973AC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lang w:val="en-GB"/>
        </w:rPr>
        <w:t>Surgical Skills Course | University of Cambridge</w:t>
      </w:r>
    </w:p>
    <w:p w14:paraId="174E34C9" w14:textId="77777777" w:rsidR="001D3ECE" w:rsidRPr="001D3ECE" w:rsidRDefault="009D4713" w:rsidP="001D3ECE">
      <w:pPr>
        <w:pStyle w:val="ListParagraph"/>
        <w:numPr>
          <w:ilvl w:val="0"/>
          <w:numId w:val="4"/>
        </w:numPr>
        <w:spacing w:after="120" w:line="240" w:lineRule="auto"/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A </w:t>
      </w:r>
      <w:r w:rsidRPr="007973AC">
        <w:rPr>
          <w:rFonts w:ascii="Century Gothic" w:eastAsia="Century Gothic" w:hAnsi="Century Gothic" w:cs="Century Gothic"/>
          <w:color w:val="404040"/>
          <w:sz w:val="20"/>
          <w:szCs w:val="20"/>
          <w:lang w:val="en-GB"/>
        </w:rPr>
        <w:t xml:space="preserve">4-week programme covering interrupted, continuous, mattress and subcuticular suturing, surgical knot-tying and laparoscopic skills. </w:t>
      </w:r>
    </w:p>
    <w:p w14:paraId="21F779DD" w14:textId="77777777" w:rsidR="001D3ECE" w:rsidRDefault="001D3ECE" w:rsidP="001D3ECE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</w:p>
    <w:p w14:paraId="43277E6B" w14:textId="78E8EABF" w:rsidR="001D3ECE" w:rsidRPr="00A627F8" w:rsidRDefault="001D3ECE" w:rsidP="001D3ECE">
      <w:pPr>
        <w:spacing w:after="120" w:line="240" w:lineRule="auto"/>
        <w:ind w:left="-32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GB"/>
        </w:rPr>
      </w:pPr>
      <w:bookmarkStart w:id="1" w:name="_1fob9te" w:colFirst="0" w:colLast="0"/>
      <w:bookmarkEnd w:id="1"/>
      <w:r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lang w:val="en-GB"/>
        </w:rPr>
        <w:t>Software Skills</w:t>
      </w:r>
    </w:p>
    <w:p w14:paraId="5D29B320" w14:textId="77777777" w:rsidR="001D3ECE" w:rsidRPr="00A627F8" w:rsidRDefault="001D3ECE" w:rsidP="001D3ECE">
      <w:pPr>
        <w:spacing w:after="120" w:line="240" w:lineRule="auto"/>
        <w:ind w:left="-32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bCs/>
          <w:sz w:val="20"/>
          <w:szCs w:val="20"/>
          <w:lang w:val="en-GB"/>
        </w:rPr>
        <w:t>Statistical Package for the Social Sciences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 (</w:t>
      </w:r>
      <w:r w:rsidRPr="00A627F8">
        <w:rPr>
          <w:rFonts w:ascii="Century Gothic" w:eastAsia="Century Gothic" w:hAnsi="Century Gothic" w:cs="Century Gothic"/>
          <w:bCs/>
          <w:sz w:val="20"/>
          <w:szCs w:val="20"/>
          <w:lang w:val="en-GB"/>
        </w:rPr>
        <w:t>SPSS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>),</w:t>
      </w:r>
      <w:r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 Editing Final Cut Pro X, Website Design,</w:t>
      </w:r>
      <w:r w:rsidRPr="00A627F8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 Microsoft Word, PowerPoint, Excel.</w:t>
      </w:r>
    </w:p>
    <w:p w14:paraId="2FAF70B9" w14:textId="77777777" w:rsidR="009D4713" w:rsidRDefault="009D4713" w:rsidP="009D4713">
      <w:pPr>
        <w:spacing w:after="0" w:line="360" w:lineRule="auto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788429CB" w14:textId="77777777" w:rsidR="009D4713" w:rsidRPr="00A627F8" w:rsidRDefault="009D4713" w:rsidP="009D4713">
      <w:pPr>
        <w:spacing w:after="120" w:line="240" w:lineRule="auto"/>
        <w:ind w:left="-32"/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</w:pPr>
      <w:r w:rsidRPr="00A627F8"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20</w:t>
      </w:r>
      <w:r>
        <w:rPr>
          <w:rFonts w:ascii="Century Gothic" w:eastAsia="Century Gothic" w:hAnsi="Century Gothic" w:cs="Century Gothic"/>
          <w:color w:val="CC241C"/>
          <w:sz w:val="20"/>
          <w:szCs w:val="20"/>
          <w:lang w:val="en-GB"/>
        </w:rPr>
        <w:t>12</w:t>
      </w:r>
    </w:p>
    <w:p w14:paraId="0144409E" w14:textId="72D3FDC2" w:rsidR="009D4713" w:rsidRPr="007973AC" w:rsidRDefault="009D4713" w:rsidP="009D4713">
      <w:pPr>
        <w:spacing w:after="0" w:line="360" w:lineRule="auto"/>
        <w:rPr>
          <w:b/>
          <w:bCs/>
          <w:sz w:val="20"/>
          <w:szCs w:val="20"/>
          <w:lang w:val="en-GB"/>
        </w:rPr>
      </w:pPr>
      <w:r w:rsidRPr="007973AC"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  <w:t>Emergency First Aid</w:t>
      </w:r>
    </w:p>
    <w:p w14:paraId="326FA838" w14:textId="77777777" w:rsidR="009D4713" w:rsidRDefault="009D4713" w:rsidP="009D471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GB"/>
        </w:rPr>
      </w:pPr>
    </w:p>
    <w:p w14:paraId="3586B962" w14:textId="77777777" w:rsidR="009D4713" w:rsidRPr="0018558F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GB"/>
        </w:rPr>
      </w:pPr>
    </w:p>
    <w:p w14:paraId="6AAAC951" w14:textId="4A8352AA" w:rsidR="00550ECE" w:rsidRPr="0018558F" w:rsidRDefault="009D4713" w:rsidP="009D4713">
      <w:pPr>
        <w:spacing w:after="12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GB"/>
        </w:rPr>
      </w:pPr>
      <w:r w:rsidRPr="0018558F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lang w:val="en-GB"/>
        </w:rPr>
        <w:t>REFERENCES ON REQUEST</w:t>
      </w:r>
    </w:p>
    <w:sectPr w:rsidR="00550ECE" w:rsidRPr="0018558F">
      <w:pgSz w:w="11906" w:h="16838"/>
      <w:pgMar w:top="1022" w:right="1022" w:bottom="1022" w:left="10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7889"/>
    <w:multiLevelType w:val="hybridMultilevel"/>
    <w:tmpl w:val="01624AE6"/>
    <w:lvl w:ilvl="0" w:tplc="08090001">
      <w:start w:val="1"/>
      <w:numFmt w:val="bullet"/>
      <w:lvlText w:val=""/>
      <w:lvlJc w:val="left"/>
      <w:pPr>
        <w:ind w:left="68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3355C"/>
    <w:multiLevelType w:val="hybridMultilevel"/>
    <w:tmpl w:val="E5EE8A00"/>
    <w:lvl w:ilvl="0" w:tplc="08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1D544F51"/>
    <w:multiLevelType w:val="hybridMultilevel"/>
    <w:tmpl w:val="5150EE44"/>
    <w:lvl w:ilvl="0" w:tplc="08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" w15:restartNumberingAfterBreak="0">
    <w:nsid w:val="76D058ED"/>
    <w:multiLevelType w:val="multilevel"/>
    <w:tmpl w:val="A418B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13"/>
    <w:rsid w:val="00007CF3"/>
    <w:rsid w:val="00054654"/>
    <w:rsid w:val="0018558F"/>
    <w:rsid w:val="001D3ECE"/>
    <w:rsid w:val="00450CA5"/>
    <w:rsid w:val="005033C7"/>
    <w:rsid w:val="00653E1E"/>
    <w:rsid w:val="006E2B85"/>
    <w:rsid w:val="0073262C"/>
    <w:rsid w:val="007C4779"/>
    <w:rsid w:val="0091044B"/>
    <w:rsid w:val="00981120"/>
    <w:rsid w:val="009D4713"/>
    <w:rsid w:val="00C84C12"/>
    <w:rsid w:val="00D309A3"/>
    <w:rsid w:val="00E10765"/>
    <w:rsid w:val="00F00DB5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EC22"/>
  <w15:chartTrackingRefBased/>
  <w15:docId w15:val="{EFAD87E4-E71F-5245-96A1-4BC4EE4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471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7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7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4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camdoc.com" TargetMode="External"/><Relationship Id="rId5" Type="http://schemas.openxmlformats.org/officeDocument/2006/relationships/hyperlink" Target="mailto:doctorshaene@askcamdo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Shaene Gnanarajah</dc:creator>
  <cp:keywords/>
  <dc:description/>
  <cp:lastModifiedBy>Shaene Gnanarajah</cp:lastModifiedBy>
  <cp:revision>4</cp:revision>
  <dcterms:created xsi:type="dcterms:W3CDTF">2020-05-28T10:18:00Z</dcterms:created>
  <dcterms:modified xsi:type="dcterms:W3CDTF">2020-05-29T12:38:00Z</dcterms:modified>
</cp:coreProperties>
</file>